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E63A2" w14:textId="77777777" w:rsidR="00CF7DF8" w:rsidRPr="004B4DED" w:rsidRDefault="00CF7DF8" w:rsidP="007B1530">
      <w:pPr>
        <w:jc w:val="center"/>
        <w:rPr>
          <w:rFonts w:cstheme="minorHAnsi"/>
          <w:b/>
          <w:caps/>
        </w:rPr>
      </w:pPr>
      <w:r w:rsidRPr="004B4DED">
        <w:rPr>
          <w:rFonts w:cstheme="minorHAnsi"/>
          <w:b/>
          <w:caps/>
        </w:rPr>
        <w:t>Guidelines for Theatre Board SEED FUNDING GRANTS</w:t>
      </w:r>
    </w:p>
    <w:p w14:paraId="7730E4BC" w14:textId="77777777" w:rsidR="007B1530" w:rsidRDefault="007B1530" w:rsidP="004B4DED">
      <w:pPr>
        <w:jc w:val="both"/>
        <w:rPr>
          <w:rFonts w:cstheme="minorHAnsi"/>
        </w:rPr>
      </w:pPr>
    </w:p>
    <w:p w14:paraId="29C40AEB" w14:textId="77777777" w:rsidR="0061646B" w:rsidRPr="004B4DED" w:rsidRDefault="00CF7DF8" w:rsidP="004B4DED">
      <w:pPr>
        <w:jc w:val="both"/>
        <w:rPr>
          <w:rFonts w:cstheme="minorHAnsi"/>
        </w:rPr>
      </w:pPr>
      <w:r w:rsidRPr="004B4DED">
        <w:rPr>
          <w:rFonts w:cstheme="minorHAnsi"/>
        </w:rPr>
        <w:t xml:space="preserve">The University of Melbourne Theatre Board offers </w:t>
      </w:r>
      <w:r w:rsidRPr="004B4DED">
        <w:rPr>
          <w:rFonts w:cstheme="minorHAnsi"/>
          <w:b/>
        </w:rPr>
        <w:t>Seed Funding</w:t>
      </w:r>
      <w:r w:rsidRPr="004B4DED">
        <w:rPr>
          <w:rFonts w:cstheme="minorHAnsi"/>
        </w:rPr>
        <w:t xml:space="preserve"> to new </w:t>
      </w:r>
      <w:r w:rsidRPr="004B4DED">
        <w:rPr>
          <w:rFonts w:cstheme="minorHAnsi"/>
          <w:b/>
        </w:rPr>
        <w:t xml:space="preserve">affiliated </w:t>
      </w:r>
      <w:r w:rsidR="007B1530">
        <w:rPr>
          <w:rFonts w:cstheme="minorHAnsi"/>
          <w:b/>
        </w:rPr>
        <w:t>s</w:t>
      </w:r>
      <w:r w:rsidRPr="004B4DED">
        <w:rPr>
          <w:rFonts w:cstheme="minorHAnsi"/>
          <w:b/>
        </w:rPr>
        <w:t xml:space="preserve">tudent </w:t>
      </w:r>
      <w:r w:rsidR="007B1530">
        <w:rPr>
          <w:rFonts w:cstheme="minorHAnsi"/>
          <w:b/>
        </w:rPr>
        <w:t>t</w:t>
      </w:r>
      <w:r w:rsidRPr="004B4DED">
        <w:rPr>
          <w:rFonts w:cstheme="minorHAnsi"/>
          <w:b/>
        </w:rPr>
        <w:t xml:space="preserve">heatre </w:t>
      </w:r>
      <w:r w:rsidR="007B1530">
        <w:rPr>
          <w:rFonts w:cstheme="minorHAnsi"/>
          <w:b/>
        </w:rPr>
        <w:t>g</w:t>
      </w:r>
      <w:r w:rsidRPr="004B4DED">
        <w:rPr>
          <w:rFonts w:cstheme="minorHAnsi"/>
          <w:b/>
        </w:rPr>
        <w:t>roups</w:t>
      </w:r>
      <w:r w:rsidR="0061646B" w:rsidRPr="004B4DED">
        <w:rPr>
          <w:rFonts w:cstheme="minorHAnsi"/>
          <w:b/>
        </w:rPr>
        <w:t xml:space="preserve">. </w:t>
      </w:r>
      <w:r w:rsidR="007B1530">
        <w:rPr>
          <w:rFonts w:cstheme="minorHAnsi"/>
          <w:b/>
        </w:rPr>
        <w:t xml:space="preserve"> </w:t>
      </w:r>
      <w:r w:rsidR="0061646B" w:rsidRPr="004B4DED">
        <w:rPr>
          <w:rFonts w:cstheme="minorHAnsi"/>
        </w:rPr>
        <w:t>This grant is designed</w:t>
      </w:r>
      <w:r w:rsidRPr="004B4DED">
        <w:rPr>
          <w:rFonts w:cstheme="minorHAnsi"/>
        </w:rPr>
        <w:t xml:space="preserve"> to encourage diversity and renewal of student theatre.</w:t>
      </w:r>
    </w:p>
    <w:p w14:paraId="60E3A546" w14:textId="77777777" w:rsidR="00CF7DF8" w:rsidRPr="004B4DED" w:rsidRDefault="00CF7DF8" w:rsidP="004B4DED">
      <w:pPr>
        <w:jc w:val="both"/>
        <w:rPr>
          <w:rFonts w:cstheme="minorHAnsi"/>
          <w:b/>
          <w:caps/>
        </w:rPr>
      </w:pPr>
      <w:r w:rsidRPr="004B4DED">
        <w:rPr>
          <w:rFonts w:cstheme="minorHAnsi"/>
        </w:rPr>
        <w:t xml:space="preserve">Applications are accepted throughout the year and will be discussed and assessed at Theatre Board </w:t>
      </w:r>
      <w:r w:rsidR="007B1530">
        <w:rPr>
          <w:rFonts w:cstheme="minorHAnsi"/>
        </w:rPr>
        <w:t>m</w:t>
      </w:r>
      <w:r w:rsidRPr="004B4DED">
        <w:rPr>
          <w:rFonts w:cstheme="minorHAnsi"/>
        </w:rPr>
        <w:t>eetings (held monthly during Semester).</w:t>
      </w:r>
      <w:r w:rsidR="007B1530">
        <w:rPr>
          <w:rFonts w:cstheme="minorHAnsi"/>
        </w:rPr>
        <w:t xml:space="preserve"> </w:t>
      </w:r>
      <w:r w:rsidRPr="004B4DED">
        <w:rPr>
          <w:rFonts w:cstheme="minorHAnsi"/>
        </w:rPr>
        <w:t xml:space="preserve"> Decisions regarding the applications are announced following the assessment meeting at Theatre Board. </w:t>
      </w:r>
    </w:p>
    <w:p w14:paraId="18484859" w14:textId="77777777" w:rsidR="00CF7DF8" w:rsidRPr="004B4DED" w:rsidRDefault="00CF7DF8" w:rsidP="004B4DED">
      <w:pPr>
        <w:jc w:val="both"/>
        <w:rPr>
          <w:rFonts w:cstheme="minorHAnsi"/>
        </w:rPr>
      </w:pPr>
      <w:r w:rsidRPr="004B4DED">
        <w:rPr>
          <w:rFonts w:cstheme="minorHAnsi"/>
          <w:b/>
        </w:rPr>
        <w:t>Seed Funding</w:t>
      </w:r>
      <w:r w:rsidRPr="004B4DED">
        <w:rPr>
          <w:rFonts w:cstheme="minorHAnsi"/>
        </w:rPr>
        <w:t xml:space="preserve"> is to be spent on a production or performance within one year of the grant being approved.</w:t>
      </w:r>
      <w:r w:rsidR="007B1530">
        <w:rPr>
          <w:rFonts w:cstheme="minorHAnsi"/>
        </w:rPr>
        <w:t xml:space="preserve"> </w:t>
      </w:r>
      <w:r w:rsidRPr="004B4DED">
        <w:rPr>
          <w:rFonts w:cstheme="minorHAnsi"/>
        </w:rPr>
        <w:t xml:space="preserve"> It is possible for applicants to apply for other funding sources from Theatre Board to support the same production or performance (as long as each application meets the requisite requirements and criteria).</w:t>
      </w:r>
    </w:p>
    <w:p w14:paraId="280C309C" w14:textId="726D54F1" w:rsidR="00CF7DF8" w:rsidRPr="007B1530" w:rsidRDefault="00CF7DF8" w:rsidP="004B4DED">
      <w:pPr>
        <w:jc w:val="both"/>
        <w:rPr>
          <w:rFonts w:cstheme="minorHAnsi"/>
          <w:b/>
        </w:rPr>
      </w:pPr>
      <w:r w:rsidRPr="007B1530">
        <w:rPr>
          <w:rFonts w:cstheme="minorHAnsi"/>
          <w:b/>
        </w:rPr>
        <w:t>Maximum funding: $2000.</w:t>
      </w:r>
    </w:p>
    <w:p w14:paraId="76B1A5F0" w14:textId="77777777" w:rsidR="007B1530" w:rsidRDefault="007B1530" w:rsidP="004B4DED">
      <w:pPr>
        <w:jc w:val="both"/>
        <w:rPr>
          <w:rFonts w:cstheme="minorHAnsi"/>
        </w:rPr>
      </w:pPr>
    </w:p>
    <w:p w14:paraId="1837DD27" w14:textId="6D71E71A" w:rsidR="00CF7DF8" w:rsidRPr="004B4DED" w:rsidRDefault="00CF7DF8" w:rsidP="004B4DED">
      <w:pPr>
        <w:jc w:val="both"/>
        <w:rPr>
          <w:rFonts w:cstheme="minorHAnsi"/>
        </w:rPr>
      </w:pPr>
      <w:r w:rsidRPr="004B4DED">
        <w:rPr>
          <w:rFonts w:cstheme="minorHAnsi"/>
        </w:rPr>
        <w:t>The purpose of this initiative is to enrich the ecology of student theatre on campus by</w:t>
      </w:r>
    </w:p>
    <w:p w14:paraId="322BE97A" w14:textId="77777777" w:rsidR="00CF7DF8" w:rsidRPr="004B4DED" w:rsidRDefault="00CF7DF8" w:rsidP="004B4DED">
      <w:pPr>
        <w:numPr>
          <w:ilvl w:val="0"/>
          <w:numId w:val="4"/>
        </w:numPr>
        <w:spacing w:after="200" w:line="240" w:lineRule="auto"/>
        <w:ind w:hanging="720"/>
        <w:contextualSpacing/>
        <w:jc w:val="both"/>
        <w:rPr>
          <w:rFonts w:cstheme="minorHAnsi"/>
        </w:rPr>
      </w:pPr>
      <w:r w:rsidRPr="004B4DED">
        <w:rPr>
          <w:rFonts w:cstheme="minorHAnsi"/>
        </w:rPr>
        <w:t>Encouraging new group formation</w:t>
      </w:r>
    </w:p>
    <w:p w14:paraId="59A8ABA9" w14:textId="77777777" w:rsidR="00CF7DF8" w:rsidRPr="004B4DED" w:rsidRDefault="00CF7DF8" w:rsidP="004B4DED">
      <w:pPr>
        <w:numPr>
          <w:ilvl w:val="0"/>
          <w:numId w:val="4"/>
        </w:numPr>
        <w:spacing w:after="0" w:line="240" w:lineRule="auto"/>
        <w:ind w:hanging="720"/>
        <w:contextualSpacing/>
        <w:jc w:val="both"/>
        <w:rPr>
          <w:rFonts w:cstheme="minorHAnsi"/>
        </w:rPr>
      </w:pPr>
      <w:r w:rsidRPr="004B4DED">
        <w:rPr>
          <w:rFonts w:cstheme="minorHAnsi"/>
        </w:rPr>
        <w:t xml:space="preserve">Encouraging </w:t>
      </w:r>
      <w:r w:rsidR="00F929E5" w:rsidRPr="004B4DED">
        <w:rPr>
          <w:rFonts w:cstheme="minorHAnsi"/>
        </w:rPr>
        <w:t>innovation and</w:t>
      </w:r>
      <w:r w:rsidR="009944AF" w:rsidRPr="004B4DED">
        <w:rPr>
          <w:rFonts w:cstheme="minorHAnsi"/>
        </w:rPr>
        <w:t xml:space="preserve"> diversity of work</w:t>
      </w:r>
    </w:p>
    <w:p w14:paraId="36CE5108" w14:textId="77777777" w:rsidR="00CF7DF8" w:rsidRPr="004B4DED" w:rsidRDefault="00CF7DF8" w:rsidP="004B4DED">
      <w:pPr>
        <w:numPr>
          <w:ilvl w:val="0"/>
          <w:numId w:val="4"/>
        </w:numPr>
        <w:spacing w:after="0" w:line="240" w:lineRule="auto"/>
        <w:ind w:hanging="720"/>
        <w:contextualSpacing/>
        <w:jc w:val="both"/>
        <w:rPr>
          <w:rFonts w:cstheme="minorHAnsi"/>
        </w:rPr>
      </w:pPr>
      <w:r w:rsidRPr="004B4DED">
        <w:rPr>
          <w:rFonts w:cstheme="minorHAnsi"/>
        </w:rPr>
        <w:t>Facilitating and supporting a diversity of student theatre groups on campus</w:t>
      </w:r>
    </w:p>
    <w:p w14:paraId="24076332" w14:textId="77777777" w:rsidR="00CF7DF8" w:rsidRPr="004B4DED" w:rsidRDefault="00CF7DF8" w:rsidP="004B4DED">
      <w:pPr>
        <w:numPr>
          <w:ilvl w:val="0"/>
          <w:numId w:val="4"/>
        </w:numPr>
        <w:spacing w:after="0" w:line="240" w:lineRule="auto"/>
        <w:ind w:hanging="720"/>
        <w:contextualSpacing/>
        <w:jc w:val="both"/>
        <w:rPr>
          <w:rFonts w:cstheme="minorHAnsi"/>
        </w:rPr>
      </w:pPr>
      <w:r w:rsidRPr="004B4DED">
        <w:rPr>
          <w:rFonts w:cstheme="minorHAnsi"/>
        </w:rPr>
        <w:t>Supporting new voices to be heard</w:t>
      </w:r>
    </w:p>
    <w:p w14:paraId="4A752CFC" w14:textId="0C5F535E" w:rsidR="009944AF" w:rsidRPr="004B4DED" w:rsidRDefault="009944AF" w:rsidP="004B4DED">
      <w:pPr>
        <w:numPr>
          <w:ilvl w:val="0"/>
          <w:numId w:val="4"/>
        </w:numPr>
        <w:spacing w:after="0" w:line="240" w:lineRule="auto"/>
        <w:ind w:hanging="720"/>
        <w:contextualSpacing/>
        <w:jc w:val="both"/>
        <w:rPr>
          <w:rFonts w:cstheme="minorHAnsi"/>
        </w:rPr>
      </w:pPr>
      <w:r w:rsidRPr="004B4DED">
        <w:rPr>
          <w:rFonts w:cstheme="minorHAnsi"/>
        </w:rPr>
        <w:t>Creating more opportunities for engagement</w:t>
      </w:r>
      <w:r w:rsidR="00EA1B18">
        <w:rPr>
          <w:rFonts w:cstheme="minorHAnsi"/>
        </w:rPr>
        <w:t xml:space="preserve"> </w:t>
      </w:r>
      <w:r w:rsidRPr="004B4DED">
        <w:rPr>
          <w:rFonts w:cstheme="minorHAnsi"/>
        </w:rPr>
        <w:t>and</w:t>
      </w:r>
    </w:p>
    <w:p w14:paraId="0C4BA5C1" w14:textId="400DF498" w:rsidR="00CF7DF8" w:rsidRPr="004B4DED" w:rsidRDefault="009944AF" w:rsidP="004B4DED">
      <w:pPr>
        <w:numPr>
          <w:ilvl w:val="0"/>
          <w:numId w:val="4"/>
        </w:numPr>
        <w:spacing w:after="0" w:line="240" w:lineRule="auto"/>
        <w:ind w:hanging="720"/>
        <w:contextualSpacing/>
        <w:jc w:val="both"/>
        <w:rPr>
          <w:rFonts w:cstheme="minorHAnsi"/>
        </w:rPr>
      </w:pPr>
      <w:r w:rsidRPr="004B4DED">
        <w:rPr>
          <w:rFonts w:cstheme="minorHAnsi"/>
        </w:rPr>
        <w:t>Removing financial barriers to engage in new and interesting ways with student theatre</w:t>
      </w:r>
      <w:r w:rsidR="00EA1B18">
        <w:rPr>
          <w:rFonts w:cstheme="minorHAnsi"/>
        </w:rPr>
        <w:t>.</w:t>
      </w:r>
    </w:p>
    <w:p w14:paraId="4D22874C" w14:textId="77777777" w:rsidR="0061646B" w:rsidRPr="004B4DED" w:rsidRDefault="0061646B" w:rsidP="007B1530">
      <w:pPr>
        <w:spacing w:after="0" w:line="240" w:lineRule="auto"/>
        <w:contextualSpacing/>
        <w:jc w:val="both"/>
        <w:rPr>
          <w:rFonts w:cstheme="minorHAnsi"/>
        </w:rPr>
      </w:pPr>
    </w:p>
    <w:p w14:paraId="40AD5290" w14:textId="7D1C899E" w:rsidR="00CF7DF8" w:rsidRDefault="00CF7DF8" w:rsidP="007B1530">
      <w:pPr>
        <w:spacing w:after="0"/>
        <w:jc w:val="both"/>
        <w:rPr>
          <w:rFonts w:cstheme="minorHAnsi"/>
        </w:rPr>
      </w:pPr>
      <w:r w:rsidRPr="004B4DED">
        <w:rPr>
          <w:rFonts w:cstheme="minorHAnsi"/>
        </w:rPr>
        <w:t>The grant will aid production costs, including but not limited to</w:t>
      </w:r>
    </w:p>
    <w:p w14:paraId="544543FD" w14:textId="77777777" w:rsidR="007B1530" w:rsidRPr="004B4DED" w:rsidRDefault="007B1530" w:rsidP="007B1530">
      <w:pPr>
        <w:spacing w:after="0"/>
        <w:jc w:val="both"/>
        <w:rPr>
          <w:rFonts w:cstheme="minorHAnsi"/>
        </w:rPr>
      </w:pPr>
    </w:p>
    <w:p w14:paraId="004E2D69" w14:textId="595EC9BF" w:rsidR="00CF7DF8" w:rsidRPr="004B4DED" w:rsidRDefault="00CF7DF8" w:rsidP="007B1530">
      <w:pPr>
        <w:numPr>
          <w:ilvl w:val="0"/>
          <w:numId w:val="6"/>
        </w:numPr>
        <w:spacing w:after="0" w:line="240" w:lineRule="auto"/>
        <w:ind w:hanging="720"/>
        <w:jc w:val="both"/>
        <w:rPr>
          <w:rFonts w:cstheme="minorHAnsi"/>
        </w:rPr>
      </w:pPr>
      <w:r w:rsidRPr="004B4DED">
        <w:rPr>
          <w:rFonts w:cstheme="minorHAnsi"/>
        </w:rPr>
        <w:t>Materials and technology</w:t>
      </w:r>
      <w:r w:rsidR="00EA1B18">
        <w:rPr>
          <w:rFonts w:cstheme="minorHAnsi"/>
        </w:rPr>
        <w:t xml:space="preserve"> (excluding the purchase of desktops, laptops, tablets and mobile devices)</w:t>
      </w:r>
    </w:p>
    <w:p w14:paraId="5230C938" w14:textId="246E99BA" w:rsidR="00CF7DF8" w:rsidRPr="004B4DED" w:rsidRDefault="00CF7DF8" w:rsidP="007B1530">
      <w:pPr>
        <w:numPr>
          <w:ilvl w:val="0"/>
          <w:numId w:val="6"/>
        </w:numPr>
        <w:spacing w:after="0" w:line="240" w:lineRule="auto"/>
        <w:ind w:hanging="720"/>
        <w:jc w:val="both"/>
        <w:rPr>
          <w:rFonts w:cstheme="minorHAnsi"/>
        </w:rPr>
      </w:pPr>
      <w:r w:rsidRPr="004B4DED">
        <w:rPr>
          <w:rFonts w:cstheme="minorHAnsi"/>
        </w:rPr>
        <w:t>Royalty payment</w:t>
      </w:r>
    </w:p>
    <w:p w14:paraId="34A44C67" w14:textId="420C3948" w:rsidR="00CF7DF8" w:rsidRPr="004B4DED" w:rsidRDefault="00CF7DF8" w:rsidP="007B1530">
      <w:pPr>
        <w:numPr>
          <w:ilvl w:val="0"/>
          <w:numId w:val="6"/>
        </w:numPr>
        <w:spacing w:after="0" w:line="240" w:lineRule="auto"/>
        <w:ind w:hanging="720"/>
        <w:jc w:val="both"/>
        <w:rPr>
          <w:rFonts w:cstheme="minorHAnsi"/>
        </w:rPr>
      </w:pPr>
      <w:r w:rsidRPr="004B4DED">
        <w:rPr>
          <w:rFonts w:cstheme="minorHAnsi"/>
        </w:rPr>
        <w:t>Venue hire</w:t>
      </w:r>
    </w:p>
    <w:p w14:paraId="1E13D23A" w14:textId="77777777" w:rsidR="00CF7DF8" w:rsidRPr="004B4DED" w:rsidRDefault="00CF7DF8" w:rsidP="007B1530">
      <w:pPr>
        <w:numPr>
          <w:ilvl w:val="0"/>
          <w:numId w:val="6"/>
        </w:numPr>
        <w:spacing w:after="0" w:line="240" w:lineRule="auto"/>
        <w:ind w:hanging="720"/>
        <w:jc w:val="both"/>
        <w:rPr>
          <w:rFonts w:cstheme="minorHAnsi"/>
        </w:rPr>
      </w:pPr>
      <w:r w:rsidRPr="004B4DED">
        <w:rPr>
          <w:rFonts w:cstheme="minorHAnsi"/>
        </w:rPr>
        <w:t>Equipment hire.</w:t>
      </w:r>
    </w:p>
    <w:p w14:paraId="589CC329" w14:textId="77777777" w:rsidR="00EA1B18" w:rsidRPr="00EA1B18" w:rsidRDefault="00EA1B18" w:rsidP="007B1530">
      <w:pPr>
        <w:spacing w:after="0"/>
        <w:jc w:val="both"/>
        <w:rPr>
          <w:rFonts w:cstheme="minorHAnsi"/>
        </w:rPr>
      </w:pPr>
    </w:p>
    <w:p w14:paraId="10163778" w14:textId="676086B4" w:rsidR="00CF7DF8" w:rsidRDefault="009944AF" w:rsidP="007B1530">
      <w:pPr>
        <w:spacing w:after="0"/>
        <w:jc w:val="both"/>
        <w:rPr>
          <w:rFonts w:cstheme="minorHAnsi"/>
        </w:rPr>
      </w:pPr>
      <w:r w:rsidRPr="004B4DED">
        <w:rPr>
          <w:rFonts w:cstheme="minorHAnsi"/>
        </w:rPr>
        <w:t>Seed Funding</w:t>
      </w:r>
      <w:r w:rsidR="00CF7DF8" w:rsidRPr="004B4DED">
        <w:rPr>
          <w:rFonts w:cstheme="minorHAnsi"/>
        </w:rPr>
        <w:t xml:space="preserve"> WILL NOT pay for</w:t>
      </w:r>
    </w:p>
    <w:p w14:paraId="3F5AB276" w14:textId="77777777" w:rsidR="007B1530" w:rsidRPr="004B4DED" w:rsidRDefault="007B1530" w:rsidP="007B1530">
      <w:pPr>
        <w:spacing w:after="0"/>
        <w:jc w:val="both"/>
        <w:rPr>
          <w:rFonts w:cstheme="minorHAnsi"/>
        </w:rPr>
      </w:pPr>
    </w:p>
    <w:p w14:paraId="157D37BB" w14:textId="69FE4849" w:rsidR="00CF7DF8" w:rsidRPr="004B4DED" w:rsidRDefault="00CF7DF8" w:rsidP="007B1530">
      <w:pPr>
        <w:numPr>
          <w:ilvl w:val="0"/>
          <w:numId w:val="6"/>
        </w:numPr>
        <w:spacing w:after="0" w:line="240" w:lineRule="auto"/>
        <w:ind w:hanging="720"/>
        <w:jc w:val="both"/>
        <w:rPr>
          <w:rFonts w:cstheme="minorHAnsi"/>
        </w:rPr>
      </w:pPr>
      <w:r w:rsidRPr="004B4DED">
        <w:rPr>
          <w:rFonts w:cstheme="minorHAnsi"/>
        </w:rPr>
        <w:t>Travel and transport</w:t>
      </w:r>
    </w:p>
    <w:p w14:paraId="7FCFB2C2" w14:textId="77777777" w:rsidR="00CF7DF8" w:rsidRPr="004B4DED" w:rsidRDefault="00CF7DF8" w:rsidP="007B1530">
      <w:pPr>
        <w:numPr>
          <w:ilvl w:val="0"/>
          <w:numId w:val="6"/>
        </w:numPr>
        <w:spacing w:after="0" w:line="240" w:lineRule="auto"/>
        <w:ind w:hanging="720"/>
        <w:jc w:val="both"/>
        <w:rPr>
          <w:rFonts w:cstheme="minorHAnsi"/>
        </w:rPr>
      </w:pPr>
      <w:r w:rsidRPr="004B4DED">
        <w:rPr>
          <w:rFonts w:cstheme="minorHAnsi"/>
        </w:rPr>
        <w:t>Payments to students.</w:t>
      </w:r>
    </w:p>
    <w:p w14:paraId="5E09B4A9" w14:textId="77777777" w:rsidR="009944AF" w:rsidRDefault="009944AF" w:rsidP="007B1530">
      <w:pPr>
        <w:spacing w:after="0"/>
        <w:jc w:val="both"/>
        <w:rPr>
          <w:rFonts w:cstheme="minorHAnsi"/>
        </w:rPr>
      </w:pPr>
    </w:p>
    <w:p w14:paraId="35649EB9" w14:textId="77777777" w:rsidR="007B1530" w:rsidRPr="004B4DED" w:rsidRDefault="007B1530" w:rsidP="007B1530">
      <w:pPr>
        <w:spacing w:after="0"/>
        <w:jc w:val="both"/>
        <w:rPr>
          <w:rFonts w:cstheme="minorHAnsi"/>
        </w:rPr>
      </w:pPr>
    </w:p>
    <w:p w14:paraId="7029E530" w14:textId="77777777" w:rsidR="00CF7DF8" w:rsidRDefault="00CF7DF8" w:rsidP="007B1530">
      <w:pPr>
        <w:spacing w:after="0"/>
        <w:jc w:val="both"/>
        <w:rPr>
          <w:rFonts w:cstheme="minorHAnsi"/>
          <w:b/>
        </w:rPr>
      </w:pPr>
      <w:r w:rsidRPr="004B4DED">
        <w:rPr>
          <w:rFonts w:cstheme="minorHAnsi"/>
          <w:b/>
        </w:rPr>
        <w:t>Eligibility criteria</w:t>
      </w:r>
    </w:p>
    <w:p w14:paraId="124A554E" w14:textId="77777777" w:rsidR="007B1530" w:rsidRPr="004B4DED" w:rsidRDefault="007B1530" w:rsidP="007B1530">
      <w:pPr>
        <w:spacing w:after="0"/>
        <w:jc w:val="both"/>
        <w:rPr>
          <w:rFonts w:cstheme="minorHAnsi"/>
        </w:rPr>
      </w:pPr>
    </w:p>
    <w:p w14:paraId="48B75658" w14:textId="45BBB034" w:rsidR="0061646B" w:rsidRDefault="00CF7DF8" w:rsidP="007B1530">
      <w:pPr>
        <w:numPr>
          <w:ilvl w:val="0"/>
          <w:numId w:val="5"/>
        </w:numPr>
        <w:spacing w:after="0" w:line="240" w:lineRule="auto"/>
        <w:ind w:hanging="720"/>
        <w:contextualSpacing/>
        <w:jc w:val="both"/>
        <w:rPr>
          <w:rFonts w:cstheme="minorHAnsi"/>
        </w:rPr>
      </w:pPr>
      <w:r w:rsidRPr="004B4DED">
        <w:rPr>
          <w:rFonts w:cstheme="minorHAnsi"/>
        </w:rPr>
        <w:t xml:space="preserve">The application must </w:t>
      </w:r>
      <w:r w:rsidR="0061646B" w:rsidRPr="004B4DED">
        <w:rPr>
          <w:rFonts w:cstheme="minorHAnsi"/>
        </w:rPr>
        <w:t>clearly articulate the student theatre groups aims and objectives</w:t>
      </w:r>
    </w:p>
    <w:p w14:paraId="6AB5631C" w14:textId="716189A0" w:rsidR="007B1530" w:rsidRPr="00EA1B18" w:rsidRDefault="00CF7DF8" w:rsidP="007B1530">
      <w:pPr>
        <w:numPr>
          <w:ilvl w:val="0"/>
          <w:numId w:val="5"/>
        </w:numPr>
        <w:spacing w:after="0" w:line="240" w:lineRule="auto"/>
        <w:ind w:hanging="720"/>
        <w:contextualSpacing/>
        <w:jc w:val="both"/>
        <w:rPr>
          <w:rFonts w:cstheme="minorHAnsi"/>
        </w:rPr>
      </w:pPr>
      <w:r w:rsidRPr="004B4DED">
        <w:rPr>
          <w:rFonts w:cstheme="minorHAnsi"/>
        </w:rPr>
        <w:t xml:space="preserve">At least 75% of the people involved in the </w:t>
      </w:r>
      <w:r w:rsidR="0061646B" w:rsidRPr="004B4DED">
        <w:rPr>
          <w:rFonts w:cstheme="minorHAnsi"/>
        </w:rPr>
        <w:t xml:space="preserve">new </w:t>
      </w:r>
      <w:r w:rsidR="007B1530">
        <w:rPr>
          <w:rFonts w:cstheme="minorHAnsi"/>
        </w:rPr>
        <w:t>student theatre group</w:t>
      </w:r>
      <w:r w:rsidRPr="004B4DED">
        <w:rPr>
          <w:rFonts w:cstheme="minorHAnsi"/>
        </w:rPr>
        <w:t xml:space="preserve"> must be currently enrolled students in any University of Melbourne course (undergraduate or graduate)</w:t>
      </w:r>
    </w:p>
    <w:p w14:paraId="4BA80901" w14:textId="77777777" w:rsidR="00CF7DF8" w:rsidRPr="004B4DED" w:rsidRDefault="00CF7DF8" w:rsidP="007B1530">
      <w:pPr>
        <w:numPr>
          <w:ilvl w:val="0"/>
          <w:numId w:val="5"/>
        </w:numPr>
        <w:spacing w:after="0" w:line="240" w:lineRule="auto"/>
        <w:ind w:hanging="720"/>
        <w:contextualSpacing/>
        <w:jc w:val="both"/>
        <w:rPr>
          <w:rFonts w:cstheme="minorHAnsi"/>
        </w:rPr>
      </w:pPr>
      <w:r w:rsidRPr="004B4DED">
        <w:rPr>
          <w:rFonts w:cstheme="minorHAnsi"/>
        </w:rPr>
        <w:t>Pro</w:t>
      </w:r>
      <w:r w:rsidR="0061646B" w:rsidRPr="004B4DED">
        <w:rPr>
          <w:rFonts w:cstheme="minorHAnsi"/>
        </w:rPr>
        <w:t>ductions and</w:t>
      </w:r>
      <w:r w:rsidR="007B1530">
        <w:rPr>
          <w:rFonts w:cstheme="minorHAnsi"/>
        </w:rPr>
        <w:t xml:space="preserve"> p</w:t>
      </w:r>
      <w:r w:rsidR="0061646B" w:rsidRPr="004B4DED">
        <w:rPr>
          <w:rFonts w:cstheme="minorHAnsi"/>
        </w:rPr>
        <w:t>erformances</w:t>
      </w:r>
      <w:r w:rsidRPr="004B4DED">
        <w:rPr>
          <w:rFonts w:cstheme="minorHAnsi"/>
        </w:rPr>
        <w:t xml:space="preserve"> must be extracurricular and not form part of any academic assessment.  Where there is ambiguity about this point please consult the Artistic Director/Theatre Coordinator, Union House Theatre.</w:t>
      </w:r>
    </w:p>
    <w:p w14:paraId="086E516B" w14:textId="77777777" w:rsidR="00CF7DF8" w:rsidRDefault="00CF7DF8" w:rsidP="007B1530">
      <w:pPr>
        <w:spacing w:after="0"/>
        <w:jc w:val="both"/>
        <w:rPr>
          <w:rFonts w:cstheme="minorHAnsi"/>
          <w:b/>
        </w:rPr>
      </w:pPr>
    </w:p>
    <w:p w14:paraId="0B36387C" w14:textId="77777777" w:rsidR="007B1530" w:rsidRDefault="007B1530">
      <w:pPr>
        <w:rPr>
          <w:rFonts w:cstheme="minorHAnsi"/>
          <w:b/>
        </w:rPr>
      </w:pPr>
      <w:r>
        <w:rPr>
          <w:rFonts w:cstheme="minorHAnsi"/>
          <w:b/>
        </w:rPr>
        <w:br w:type="page"/>
      </w:r>
    </w:p>
    <w:p w14:paraId="3A21B2E1" w14:textId="77777777" w:rsidR="007B1530" w:rsidRPr="004B4DED" w:rsidRDefault="007B1530" w:rsidP="007B1530">
      <w:pPr>
        <w:spacing w:after="0"/>
        <w:jc w:val="both"/>
        <w:rPr>
          <w:rFonts w:cstheme="minorHAnsi"/>
          <w:b/>
        </w:rPr>
      </w:pPr>
    </w:p>
    <w:p w14:paraId="39D846AB" w14:textId="77777777" w:rsidR="00CF7DF8" w:rsidRDefault="00CF7DF8" w:rsidP="007B1530">
      <w:pPr>
        <w:spacing w:after="0"/>
        <w:jc w:val="both"/>
        <w:rPr>
          <w:rFonts w:cstheme="minorHAnsi"/>
          <w:b/>
        </w:rPr>
      </w:pPr>
      <w:r w:rsidRPr="004B4DED">
        <w:rPr>
          <w:rFonts w:cstheme="minorHAnsi"/>
          <w:b/>
        </w:rPr>
        <w:t>Process of application</w:t>
      </w:r>
    </w:p>
    <w:p w14:paraId="391BDB4C" w14:textId="77777777" w:rsidR="007B1530" w:rsidRPr="004B4DED" w:rsidRDefault="007B1530" w:rsidP="007B1530">
      <w:pPr>
        <w:spacing w:after="0"/>
        <w:jc w:val="both"/>
        <w:rPr>
          <w:rFonts w:cstheme="minorHAnsi"/>
          <w:b/>
        </w:rPr>
      </w:pPr>
    </w:p>
    <w:p w14:paraId="590C6380" w14:textId="4CCAB87F" w:rsidR="007B1530" w:rsidRDefault="00CF7DF8" w:rsidP="00EA1B18">
      <w:pPr>
        <w:numPr>
          <w:ilvl w:val="0"/>
          <w:numId w:val="6"/>
        </w:numPr>
        <w:spacing w:after="0" w:line="240" w:lineRule="auto"/>
        <w:ind w:hanging="720"/>
        <w:jc w:val="both"/>
        <w:rPr>
          <w:rFonts w:cstheme="minorHAnsi"/>
        </w:rPr>
      </w:pPr>
      <w:r w:rsidRPr="004B4DED">
        <w:rPr>
          <w:rFonts w:cstheme="minorHAnsi"/>
        </w:rPr>
        <w:t xml:space="preserve">An application form will be available </w:t>
      </w:r>
      <w:r w:rsidR="005648F3">
        <w:rPr>
          <w:rFonts w:cstheme="minorHAnsi"/>
        </w:rPr>
        <w:t xml:space="preserve">via the Theatre Board Blog: </w:t>
      </w:r>
      <w:hyperlink r:id="rId7" w:history="1">
        <w:r w:rsidR="00EA1B18" w:rsidRPr="008A3292">
          <w:rPr>
            <w:rStyle w:val="Hyperlink"/>
            <w:rFonts w:cstheme="minorHAnsi"/>
          </w:rPr>
          <w:t>https://blogs.unimelb.edu.au/theatreboard/</w:t>
        </w:r>
      </w:hyperlink>
    </w:p>
    <w:p w14:paraId="23E6A22D" w14:textId="77777777" w:rsidR="00EA1B18" w:rsidRPr="00EA1B18" w:rsidRDefault="00EA1B18" w:rsidP="00EA1B18">
      <w:pPr>
        <w:spacing w:after="0" w:line="240" w:lineRule="auto"/>
        <w:ind w:left="720"/>
        <w:jc w:val="both"/>
        <w:rPr>
          <w:rFonts w:cstheme="minorHAnsi"/>
        </w:rPr>
      </w:pPr>
    </w:p>
    <w:p w14:paraId="24027B2D" w14:textId="1814AD3E" w:rsidR="007B1530" w:rsidRDefault="00CF7DF8" w:rsidP="007B1530">
      <w:pPr>
        <w:numPr>
          <w:ilvl w:val="0"/>
          <w:numId w:val="6"/>
        </w:numPr>
        <w:spacing w:after="0" w:line="240" w:lineRule="auto"/>
        <w:ind w:hanging="720"/>
        <w:jc w:val="both"/>
        <w:rPr>
          <w:rFonts w:cstheme="minorHAnsi"/>
        </w:rPr>
      </w:pPr>
      <w:r w:rsidRPr="004B4DED">
        <w:rPr>
          <w:rFonts w:cstheme="minorHAnsi"/>
        </w:rPr>
        <w:t>Applicants must address how their project may respond to the specific aims or purposes of the initiative, as detailed above</w:t>
      </w:r>
    </w:p>
    <w:p w14:paraId="6C46D37A" w14:textId="77777777" w:rsidR="00EA1B18" w:rsidRPr="00EA1B18" w:rsidRDefault="00EA1B18" w:rsidP="00EA1B18">
      <w:pPr>
        <w:spacing w:after="0" w:line="240" w:lineRule="auto"/>
        <w:ind w:left="720"/>
        <w:jc w:val="both"/>
        <w:rPr>
          <w:rFonts w:cstheme="minorHAnsi"/>
        </w:rPr>
      </w:pPr>
    </w:p>
    <w:p w14:paraId="361FB52B" w14:textId="742BD2BF" w:rsidR="007B1530" w:rsidRDefault="00CF7DF8" w:rsidP="007B1530">
      <w:pPr>
        <w:numPr>
          <w:ilvl w:val="0"/>
          <w:numId w:val="6"/>
        </w:numPr>
        <w:spacing w:after="0" w:line="240" w:lineRule="auto"/>
        <w:ind w:hanging="720"/>
        <w:jc w:val="both"/>
        <w:rPr>
          <w:rFonts w:cstheme="minorHAnsi"/>
        </w:rPr>
      </w:pPr>
      <w:r w:rsidRPr="004B4DED">
        <w:rPr>
          <w:rFonts w:cstheme="minorHAnsi"/>
        </w:rPr>
        <w:t xml:space="preserve">The creative work must be </w:t>
      </w:r>
      <w:r w:rsidRPr="00EA1B18">
        <w:rPr>
          <w:rFonts w:cstheme="minorHAnsi"/>
          <w:bCs/>
        </w:rPr>
        <w:t>performed</w:t>
      </w:r>
      <w:r w:rsidRPr="004B4DED">
        <w:rPr>
          <w:rFonts w:cstheme="minorHAnsi"/>
          <w:color w:val="FF0000"/>
        </w:rPr>
        <w:t xml:space="preserve"> </w:t>
      </w:r>
      <w:r w:rsidRPr="004B4DED">
        <w:rPr>
          <w:rFonts w:cstheme="minorHAnsi"/>
        </w:rPr>
        <w:t>within 12 months of approval</w:t>
      </w:r>
    </w:p>
    <w:p w14:paraId="5040EB16" w14:textId="77777777" w:rsidR="00EA1B18" w:rsidRPr="00EA1B18" w:rsidRDefault="00EA1B18" w:rsidP="00EA1B18">
      <w:pPr>
        <w:spacing w:after="0" w:line="240" w:lineRule="auto"/>
        <w:ind w:left="720"/>
        <w:jc w:val="both"/>
        <w:rPr>
          <w:rFonts w:cstheme="minorHAnsi"/>
        </w:rPr>
      </w:pPr>
    </w:p>
    <w:p w14:paraId="3D81824D" w14:textId="02AE5E5A" w:rsidR="007B1530" w:rsidRDefault="00CF7DF8" w:rsidP="007B1530">
      <w:pPr>
        <w:numPr>
          <w:ilvl w:val="0"/>
          <w:numId w:val="6"/>
        </w:numPr>
        <w:spacing w:after="0" w:line="240" w:lineRule="auto"/>
        <w:ind w:hanging="720"/>
        <w:jc w:val="both"/>
        <w:rPr>
          <w:rFonts w:cstheme="minorHAnsi"/>
        </w:rPr>
      </w:pPr>
      <w:r w:rsidRPr="004B4DED">
        <w:rPr>
          <w:rFonts w:cstheme="minorHAnsi"/>
        </w:rPr>
        <w:t xml:space="preserve">Applications must </w:t>
      </w:r>
      <w:r w:rsidR="00701776" w:rsidRPr="004B4DED">
        <w:rPr>
          <w:rFonts w:cstheme="minorHAnsi"/>
        </w:rPr>
        <w:t>include</w:t>
      </w:r>
      <w:r w:rsidRPr="004B4DED">
        <w:rPr>
          <w:rFonts w:cstheme="minorHAnsi"/>
        </w:rPr>
        <w:t xml:space="preserve"> rationale; short biographies of all key personnel including applicants, and a budget that specifies grant money expenditure</w:t>
      </w:r>
    </w:p>
    <w:p w14:paraId="1D6C951E" w14:textId="77777777" w:rsidR="00EA1B18" w:rsidRPr="00EA1B18" w:rsidRDefault="00EA1B18" w:rsidP="00EA1B18">
      <w:pPr>
        <w:spacing w:after="0" w:line="240" w:lineRule="auto"/>
        <w:ind w:left="720"/>
        <w:jc w:val="both"/>
        <w:rPr>
          <w:rFonts w:cstheme="minorHAnsi"/>
        </w:rPr>
      </w:pPr>
    </w:p>
    <w:p w14:paraId="7973EE6F" w14:textId="69A1717E" w:rsidR="007B1530" w:rsidRDefault="00CF7DF8" w:rsidP="007B1530">
      <w:pPr>
        <w:numPr>
          <w:ilvl w:val="0"/>
          <w:numId w:val="6"/>
        </w:numPr>
        <w:spacing w:after="0" w:line="240" w:lineRule="auto"/>
        <w:ind w:hanging="720"/>
        <w:jc w:val="both"/>
        <w:rPr>
          <w:rFonts w:cstheme="minorHAnsi"/>
        </w:rPr>
      </w:pPr>
      <w:r w:rsidRPr="004B4DED">
        <w:rPr>
          <w:rFonts w:cstheme="minorHAnsi"/>
        </w:rPr>
        <w:t xml:space="preserve">Applications must use the </w:t>
      </w:r>
      <w:r w:rsidR="007B1530">
        <w:rPr>
          <w:rFonts w:cstheme="minorHAnsi"/>
        </w:rPr>
        <w:t xml:space="preserve">online </w:t>
      </w:r>
      <w:r w:rsidR="0061646B" w:rsidRPr="004B4DED">
        <w:rPr>
          <w:rFonts w:cstheme="minorHAnsi"/>
        </w:rPr>
        <w:t xml:space="preserve">form </w:t>
      </w:r>
      <w:r w:rsidRPr="004B4DED">
        <w:rPr>
          <w:rFonts w:cstheme="minorHAnsi"/>
        </w:rPr>
        <w:t>provided</w:t>
      </w:r>
    </w:p>
    <w:p w14:paraId="718BE78E" w14:textId="77777777" w:rsidR="00EA1B18" w:rsidRPr="00EA1B18" w:rsidRDefault="00EA1B18" w:rsidP="00EA1B18">
      <w:pPr>
        <w:spacing w:after="0" w:line="240" w:lineRule="auto"/>
        <w:ind w:left="720"/>
        <w:jc w:val="both"/>
        <w:rPr>
          <w:rFonts w:cstheme="minorHAnsi"/>
        </w:rPr>
      </w:pPr>
    </w:p>
    <w:p w14:paraId="6F8F2111" w14:textId="77777777" w:rsidR="0061646B" w:rsidRDefault="00CF7DF8" w:rsidP="004B4DED">
      <w:pPr>
        <w:numPr>
          <w:ilvl w:val="0"/>
          <w:numId w:val="6"/>
        </w:numPr>
        <w:spacing w:after="0" w:line="240" w:lineRule="auto"/>
        <w:ind w:hanging="720"/>
        <w:jc w:val="both"/>
        <w:rPr>
          <w:rFonts w:cstheme="minorHAnsi"/>
        </w:rPr>
      </w:pPr>
      <w:r w:rsidRPr="007B1530">
        <w:rPr>
          <w:rFonts w:cstheme="minorHAnsi"/>
        </w:rPr>
        <w:t>Theatre Board will accept applications</w:t>
      </w:r>
      <w:r w:rsidR="0061646B" w:rsidRPr="007B1530">
        <w:rPr>
          <w:rFonts w:cstheme="minorHAnsi"/>
        </w:rPr>
        <w:t xml:space="preserve"> throughout the year </w:t>
      </w:r>
      <w:r w:rsidRPr="007B1530">
        <w:rPr>
          <w:rFonts w:cstheme="minorHAnsi"/>
        </w:rPr>
        <w:t>ahead of its meeting in that month</w:t>
      </w:r>
      <w:r w:rsidR="007B1530">
        <w:rPr>
          <w:rFonts w:cstheme="minorHAnsi"/>
        </w:rPr>
        <w:t>.</w:t>
      </w:r>
    </w:p>
    <w:p w14:paraId="60F4760B" w14:textId="77777777" w:rsidR="007B1530" w:rsidRDefault="007B1530" w:rsidP="007B1530">
      <w:pPr>
        <w:spacing w:after="0" w:line="240" w:lineRule="auto"/>
        <w:jc w:val="both"/>
        <w:rPr>
          <w:rFonts w:cstheme="minorHAnsi"/>
        </w:rPr>
      </w:pPr>
    </w:p>
    <w:p w14:paraId="1D61815B" w14:textId="77777777" w:rsidR="007B1530" w:rsidRPr="007B1530" w:rsidRDefault="007B1530" w:rsidP="007B1530">
      <w:pPr>
        <w:spacing w:after="0" w:line="240" w:lineRule="auto"/>
        <w:jc w:val="both"/>
        <w:rPr>
          <w:rFonts w:cstheme="minorHAnsi"/>
        </w:rPr>
      </w:pPr>
    </w:p>
    <w:p w14:paraId="40AC2F1D" w14:textId="77777777" w:rsidR="00CF7DF8" w:rsidRPr="004B4DED" w:rsidRDefault="00CF7DF8" w:rsidP="004B4DED">
      <w:pPr>
        <w:jc w:val="both"/>
        <w:rPr>
          <w:rFonts w:cstheme="minorHAnsi"/>
        </w:rPr>
      </w:pPr>
      <w:r w:rsidRPr="004B4DED">
        <w:rPr>
          <w:rFonts w:cstheme="minorHAnsi"/>
          <w:b/>
        </w:rPr>
        <w:t>Expected outcomes</w:t>
      </w:r>
    </w:p>
    <w:p w14:paraId="28984813" w14:textId="1F3F2B4C" w:rsidR="00CF7DF8" w:rsidRDefault="00CF7DF8" w:rsidP="004B4DED">
      <w:pPr>
        <w:numPr>
          <w:ilvl w:val="0"/>
          <w:numId w:val="7"/>
        </w:numPr>
        <w:spacing w:after="0" w:line="240" w:lineRule="auto"/>
        <w:ind w:hanging="720"/>
        <w:jc w:val="both"/>
        <w:rPr>
          <w:rFonts w:cstheme="minorHAnsi"/>
        </w:rPr>
      </w:pPr>
      <w:r w:rsidRPr="004B4DED">
        <w:rPr>
          <w:rFonts w:cstheme="minorHAnsi"/>
        </w:rPr>
        <w:t>Theatre Board is to be informed of the dates, times and venue for the production so that representatives of the Board and UHT may attend.  The group may suggest preferred times for such attendance.  Where possible a complimentary ticket for Theatre Board members would be appreciated</w:t>
      </w:r>
    </w:p>
    <w:p w14:paraId="7511C0E3" w14:textId="77777777" w:rsidR="007B1530" w:rsidRPr="004B4DED" w:rsidRDefault="007B1530" w:rsidP="007B1530">
      <w:pPr>
        <w:spacing w:after="0" w:line="240" w:lineRule="auto"/>
        <w:ind w:left="720"/>
        <w:jc w:val="both"/>
        <w:rPr>
          <w:rFonts w:cstheme="minorHAnsi"/>
        </w:rPr>
      </w:pPr>
    </w:p>
    <w:p w14:paraId="4521C950" w14:textId="556CCE10" w:rsidR="00CF7DF8" w:rsidRPr="007B1530" w:rsidRDefault="00CF7DF8" w:rsidP="004B4DED">
      <w:pPr>
        <w:numPr>
          <w:ilvl w:val="0"/>
          <w:numId w:val="7"/>
        </w:numPr>
        <w:spacing w:after="0" w:line="240" w:lineRule="auto"/>
        <w:ind w:hanging="720"/>
        <w:jc w:val="both"/>
        <w:rPr>
          <w:rFonts w:cstheme="minorHAnsi"/>
        </w:rPr>
      </w:pPr>
      <w:r w:rsidRPr="004B4DED">
        <w:rPr>
          <w:rFonts w:cstheme="minorHAnsi"/>
          <w:lang w:val="en-GB"/>
        </w:rPr>
        <w:t>As the group prepares for production, ensure the</w:t>
      </w:r>
      <w:r w:rsidRPr="004B4DED">
        <w:rPr>
          <w:rFonts w:cstheme="minorHAnsi"/>
        </w:rPr>
        <w:t xml:space="preserve"> program and promotional material acknowledges financial support from Theatre Board.  The following wording is to be used:  </w:t>
      </w:r>
      <w:r w:rsidRPr="004B4DED">
        <w:rPr>
          <w:rFonts w:cstheme="minorHAnsi"/>
          <w:i/>
        </w:rPr>
        <w:t xml:space="preserve">This production gratefully acknowledges the support of the University of Melbourne Theatre Board through </w:t>
      </w:r>
      <w:r w:rsidR="00917F2D" w:rsidRPr="004B4DED">
        <w:rPr>
          <w:rFonts w:cstheme="minorHAnsi"/>
          <w:i/>
        </w:rPr>
        <w:t xml:space="preserve">its Seed Funding </w:t>
      </w:r>
      <w:r w:rsidRPr="004B4DED">
        <w:rPr>
          <w:rFonts w:cstheme="minorHAnsi"/>
          <w:i/>
        </w:rPr>
        <w:t>scheme</w:t>
      </w:r>
    </w:p>
    <w:p w14:paraId="3C34DDDA" w14:textId="77777777" w:rsidR="007B1530" w:rsidRDefault="007B1530" w:rsidP="007B1530">
      <w:pPr>
        <w:pStyle w:val="ListParagraph"/>
        <w:rPr>
          <w:rFonts w:cstheme="minorHAnsi"/>
        </w:rPr>
      </w:pPr>
    </w:p>
    <w:p w14:paraId="532FBB3A" w14:textId="4A2A1248" w:rsidR="007B1530" w:rsidRPr="007B1530" w:rsidRDefault="007B1530" w:rsidP="007B1530">
      <w:pPr>
        <w:pStyle w:val="ListParagraph"/>
        <w:numPr>
          <w:ilvl w:val="0"/>
          <w:numId w:val="7"/>
        </w:numPr>
        <w:tabs>
          <w:tab w:val="left" w:pos="720"/>
          <w:tab w:val="right" w:pos="9214"/>
        </w:tabs>
        <w:ind w:hanging="720"/>
        <w:jc w:val="both"/>
        <w:rPr>
          <w:rFonts w:cstheme="minorHAnsi"/>
        </w:rPr>
      </w:pPr>
      <w:r w:rsidRPr="007B1530">
        <w:rPr>
          <w:rFonts w:cstheme="minorHAnsi"/>
        </w:rPr>
        <w:t>Theatre Board strongly encourages theatre groups that have received its financial support to acknowledge the Traditional Owners of the land on which their production is produced and performed.  The suggested wording is as follows</w:t>
      </w:r>
    </w:p>
    <w:p w14:paraId="692E8166" w14:textId="4B0C1F29" w:rsidR="007B1530" w:rsidRPr="007B1530" w:rsidRDefault="007B1530" w:rsidP="007B1530">
      <w:pPr>
        <w:tabs>
          <w:tab w:val="left" w:pos="567"/>
          <w:tab w:val="right" w:pos="9214"/>
        </w:tabs>
        <w:spacing w:after="0"/>
        <w:ind w:left="810"/>
        <w:jc w:val="both"/>
        <w:rPr>
          <w:rFonts w:cstheme="minorHAnsi"/>
          <w:i/>
          <w:lang w:val="en-GB"/>
        </w:rPr>
      </w:pPr>
      <w:r w:rsidRPr="007B1530">
        <w:rPr>
          <w:rFonts w:cstheme="minorHAnsi"/>
          <w:i/>
          <w:color w:val="333333"/>
        </w:rPr>
        <w:t>(The name of the group) acknowledges the Wurundjeri people of the Kulin Nation as the Traditional Owners of the land on which this work was developed and is presented.  We pay our respect to their elders past and present</w:t>
      </w:r>
    </w:p>
    <w:p w14:paraId="38272462" w14:textId="77777777" w:rsidR="007B1530" w:rsidRPr="004B4DED" w:rsidRDefault="007B1530" w:rsidP="007B1530">
      <w:pPr>
        <w:spacing w:after="0" w:line="240" w:lineRule="auto"/>
        <w:jc w:val="both"/>
        <w:rPr>
          <w:rFonts w:cstheme="minorHAnsi"/>
        </w:rPr>
      </w:pPr>
    </w:p>
    <w:p w14:paraId="50ABA6E1" w14:textId="2B143AEB" w:rsidR="00CF7DF8" w:rsidRPr="004B4DED" w:rsidRDefault="00CF7DF8" w:rsidP="007B1530">
      <w:pPr>
        <w:numPr>
          <w:ilvl w:val="0"/>
          <w:numId w:val="7"/>
        </w:numPr>
        <w:spacing w:after="0" w:line="240" w:lineRule="auto"/>
        <w:ind w:hanging="720"/>
        <w:jc w:val="both"/>
        <w:rPr>
          <w:rFonts w:cstheme="minorHAnsi"/>
        </w:rPr>
      </w:pPr>
      <w:r w:rsidRPr="004B4DED">
        <w:rPr>
          <w:rFonts w:cstheme="minorHAnsi"/>
        </w:rPr>
        <w:t xml:space="preserve">The group is required to submit a report to Theatre Board </w:t>
      </w:r>
      <w:r w:rsidRPr="004B4DED">
        <w:rPr>
          <w:rFonts w:cstheme="minorHAnsi"/>
          <w:b/>
        </w:rPr>
        <w:t>within a month</w:t>
      </w:r>
      <w:r w:rsidRPr="004B4DED">
        <w:rPr>
          <w:rFonts w:cstheme="minorHAnsi"/>
        </w:rPr>
        <w:t xml:space="preserve"> of the </w:t>
      </w:r>
      <w:r w:rsidRPr="004B4DED">
        <w:rPr>
          <w:rFonts w:cstheme="minorHAnsi"/>
          <w:b/>
        </w:rPr>
        <w:t>completion</w:t>
      </w:r>
      <w:r w:rsidRPr="004B4DED">
        <w:rPr>
          <w:rFonts w:cstheme="minorHAnsi"/>
        </w:rPr>
        <w:t xml:space="preserve"> of the project.  </w:t>
      </w:r>
      <w:r w:rsidR="00917F2D" w:rsidRPr="004B4DED">
        <w:rPr>
          <w:rFonts w:cstheme="minorHAnsi"/>
        </w:rPr>
        <w:t xml:space="preserve">The group will be sent a </w:t>
      </w:r>
      <w:r w:rsidR="007B1530">
        <w:rPr>
          <w:rFonts w:cstheme="minorHAnsi"/>
        </w:rPr>
        <w:t>link</w:t>
      </w:r>
      <w:r w:rsidR="00917F2D" w:rsidRPr="004B4DED">
        <w:rPr>
          <w:rFonts w:cstheme="minorHAnsi"/>
        </w:rPr>
        <w:t xml:space="preserve"> to support the submission of this acquittal, which will </w:t>
      </w:r>
      <w:r w:rsidRPr="004B4DED">
        <w:rPr>
          <w:rFonts w:cstheme="minorHAnsi"/>
        </w:rPr>
        <w:t>include what the group did, who was involved, how effective it was and what future outcomes are likely.  A financial report, including receipts, must be attached to the report.</w:t>
      </w:r>
    </w:p>
    <w:p w14:paraId="642DF96D" w14:textId="77777777" w:rsidR="007B1530" w:rsidRDefault="007B1530" w:rsidP="004B4DED">
      <w:pPr>
        <w:pBdr>
          <w:bottom w:val="single" w:sz="6" w:space="9" w:color="auto"/>
        </w:pBdr>
        <w:jc w:val="both"/>
        <w:rPr>
          <w:rFonts w:eastAsia="Times New Roman" w:cstheme="minorHAnsi"/>
          <w:b/>
          <w:lang w:val="en-GB"/>
        </w:rPr>
      </w:pPr>
    </w:p>
    <w:p w14:paraId="52C6B5D2" w14:textId="77777777" w:rsidR="007B1530" w:rsidRDefault="007B1530" w:rsidP="004B4DED">
      <w:pPr>
        <w:pBdr>
          <w:bottom w:val="single" w:sz="6" w:space="9" w:color="auto"/>
        </w:pBdr>
        <w:jc w:val="both"/>
        <w:rPr>
          <w:rFonts w:cstheme="minorHAnsi"/>
        </w:rPr>
      </w:pPr>
    </w:p>
    <w:p w14:paraId="2C3A105B" w14:textId="026759E5" w:rsidR="00CF7DF8" w:rsidRDefault="00CF7DF8" w:rsidP="004B4DED">
      <w:pPr>
        <w:pBdr>
          <w:bottom w:val="single" w:sz="6" w:space="9" w:color="auto"/>
        </w:pBdr>
        <w:jc w:val="both"/>
        <w:rPr>
          <w:rStyle w:val="Hyperlink"/>
          <w:rFonts w:cstheme="minorHAnsi"/>
        </w:rPr>
      </w:pPr>
      <w:r w:rsidRPr="004B4DED">
        <w:rPr>
          <w:rFonts w:cstheme="minorHAnsi"/>
        </w:rPr>
        <w:t xml:space="preserve">If your group has any questions about the Theatre Board </w:t>
      </w:r>
      <w:r w:rsidR="00EA1B18">
        <w:rPr>
          <w:rFonts w:cstheme="minorHAnsi"/>
        </w:rPr>
        <w:t>Seed Funding</w:t>
      </w:r>
      <w:bookmarkStart w:id="0" w:name="_GoBack"/>
      <w:bookmarkEnd w:id="0"/>
      <w:r w:rsidRPr="004B4DED">
        <w:rPr>
          <w:rFonts w:cstheme="minorHAnsi"/>
        </w:rPr>
        <w:t xml:space="preserve"> Grants, contact </w:t>
      </w:r>
      <w:r w:rsidR="00AE0C85">
        <w:rPr>
          <w:rFonts w:cstheme="minorHAnsi"/>
        </w:rPr>
        <w:t>the Artistic Director/Theatre Coordinator,</w:t>
      </w:r>
      <w:r w:rsidRPr="004B4DED">
        <w:rPr>
          <w:rFonts w:cstheme="minorHAnsi"/>
        </w:rPr>
        <w:t xml:space="preserve"> </w:t>
      </w:r>
      <w:r w:rsidR="00AE0C85">
        <w:rPr>
          <w:rFonts w:cstheme="minorHAnsi"/>
        </w:rPr>
        <w:t>Union House Theatre</w:t>
      </w:r>
      <w:r w:rsidRPr="004B4DED">
        <w:rPr>
          <w:rFonts w:cstheme="minorHAnsi"/>
        </w:rPr>
        <w:t xml:space="preserve"> </w:t>
      </w:r>
      <w:hyperlink r:id="rId8" w:history="1">
        <w:r w:rsidRPr="004B4DED">
          <w:rPr>
            <w:rStyle w:val="Hyperlink"/>
            <w:rFonts w:cstheme="minorHAnsi"/>
          </w:rPr>
          <w:t>artistic@union.unimelb.edu.au</w:t>
        </w:r>
      </w:hyperlink>
    </w:p>
    <w:p w14:paraId="4A924F72" w14:textId="77777777" w:rsidR="004B4DED" w:rsidRPr="007B1530" w:rsidRDefault="004B4DED" w:rsidP="004B4DED">
      <w:pPr>
        <w:pBdr>
          <w:bottom w:val="single" w:sz="6" w:space="9" w:color="auto"/>
        </w:pBdr>
        <w:jc w:val="both"/>
        <w:rPr>
          <w:rStyle w:val="Hyperlink"/>
          <w:rFonts w:cstheme="minorHAnsi"/>
          <w:b/>
          <w:i/>
        </w:rPr>
      </w:pPr>
    </w:p>
    <w:p w14:paraId="69FEA0D4" w14:textId="77777777" w:rsidR="004B4DED" w:rsidRPr="007B1530" w:rsidRDefault="004B4DED" w:rsidP="007B1530">
      <w:pPr>
        <w:pBdr>
          <w:bottom w:val="single" w:sz="6" w:space="9" w:color="auto"/>
        </w:pBdr>
        <w:spacing w:after="0"/>
        <w:jc w:val="both"/>
        <w:rPr>
          <w:rStyle w:val="Hyperlink"/>
          <w:rFonts w:cstheme="minorHAnsi"/>
          <w:b/>
          <w:i/>
        </w:rPr>
      </w:pPr>
    </w:p>
    <w:p w14:paraId="686CCBBD" w14:textId="77777777" w:rsidR="00790FA1" w:rsidRPr="007B1530" w:rsidRDefault="00790FA1" w:rsidP="007B1530">
      <w:pPr>
        <w:spacing w:after="0"/>
        <w:rPr>
          <w:rFonts w:cstheme="minorHAnsi"/>
          <w:b/>
          <w:i/>
          <w:color w:val="0000FF"/>
          <w:u w:val="single"/>
        </w:rPr>
      </w:pPr>
    </w:p>
    <w:sectPr w:rsidR="00790FA1" w:rsidRPr="007B1530" w:rsidSect="0099516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6DA8" w14:textId="77777777" w:rsidR="0085066C" w:rsidRDefault="0085066C" w:rsidP="0085066C">
      <w:pPr>
        <w:spacing w:after="0" w:line="240" w:lineRule="auto"/>
      </w:pPr>
      <w:r>
        <w:separator/>
      </w:r>
    </w:p>
  </w:endnote>
  <w:endnote w:type="continuationSeparator" w:id="0">
    <w:p w14:paraId="68C99924" w14:textId="77777777" w:rsidR="0085066C" w:rsidRDefault="0085066C" w:rsidP="0085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12FD" w14:textId="77777777" w:rsidR="0085066C" w:rsidRDefault="0085066C" w:rsidP="0085066C">
      <w:pPr>
        <w:spacing w:after="0" w:line="240" w:lineRule="auto"/>
      </w:pPr>
      <w:r>
        <w:separator/>
      </w:r>
    </w:p>
  </w:footnote>
  <w:footnote w:type="continuationSeparator" w:id="0">
    <w:p w14:paraId="1F2EF0C1" w14:textId="77777777" w:rsidR="0085066C" w:rsidRDefault="0085066C" w:rsidP="0085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EF61" w14:textId="77777777" w:rsidR="0085066C" w:rsidRPr="0085066C" w:rsidRDefault="0085066C" w:rsidP="0085066C">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034"/>
    <w:multiLevelType w:val="hybridMultilevel"/>
    <w:tmpl w:val="1DD02398"/>
    <w:lvl w:ilvl="0" w:tplc="AB94D82E">
      <w:start w:val="1"/>
      <w:numFmt w:val="decimal"/>
      <w:lvlText w:val="%1."/>
      <w:lvlJc w:val="left"/>
      <w:pPr>
        <w:ind w:left="554" w:hanging="555"/>
      </w:pPr>
      <w:rPr>
        <w:rFonts w:hint="default"/>
      </w:r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1" w15:restartNumberingAfterBreak="0">
    <w:nsid w:val="01D616A3"/>
    <w:multiLevelType w:val="hybridMultilevel"/>
    <w:tmpl w:val="CF34AA70"/>
    <w:lvl w:ilvl="0" w:tplc="6E24DCF2">
      <w:start w:val="6"/>
      <w:numFmt w:val="bullet"/>
      <w:lvlText w:val=""/>
      <w:lvlJc w:val="left"/>
      <w:pPr>
        <w:tabs>
          <w:tab w:val="num" w:pos="1137"/>
        </w:tabs>
        <w:ind w:left="1137" w:hanging="57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0583410"/>
    <w:multiLevelType w:val="hybridMultilevel"/>
    <w:tmpl w:val="CBDC5C6A"/>
    <w:lvl w:ilvl="0" w:tplc="7620189E">
      <w:start w:val="9"/>
      <w:numFmt w:val="bullet"/>
      <w:lvlText w:val=""/>
      <w:lvlJc w:val="left"/>
      <w:pPr>
        <w:tabs>
          <w:tab w:val="num" w:pos="1137"/>
        </w:tabs>
        <w:ind w:left="1137" w:hanging="57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271766CC"/>
    <w:multiLevelType w:val="hybridMultilevel"/>
    <w:tmpl w:val="B66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52DAA"/>
    <w:multiLevelType w:val="hybridMultilevel"/>
    <w:tmpl w:val="8A4294D0"/>
    <w:lvl w:ilvl="0" w:tplc="41AE3EBE">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742D61"/>
    <w:multiLevelType w:val="hybridMultilevel"/>
    <w:tmpl w:val="EAA2F8C0"/>
    <w:lvl w:ilvl="0" w:tplc="35C2B720">
      <w:start w:val="5"/>
      <w:numFmt w:val="decimal"/>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 w15:restartNumberingAfterBreak="0">
    <w:nsid w:val="5AFB1CE1"/>
    <w:multiLevelType w:val="hybridMultilevel"/>
    <w:tmpl w:val="5A1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0408A"/>
    <w:multiLevelType w:val="hybridMultilevel"/>
    <w:tmpl w:val="FAE2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A1025"/>
    <w:multiLevelType w:val="hybridMultilevel"/>
    <w:tmpl w:val="941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947ED"/>
    <w:multiLevelType w:val="hybridMultilevel"/>
    <w:tmpl w:val="448E4EF8"/>
    <w:lvl w:ilvl="0" w:tplc="B47214C6">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7"/>
  </w:num>
  <w:num w:numId="6">
    <w:abstractNumId w:val="3"/>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A1"/>
    <w:rsid w:val="002D2E9D"/>
    <w:rsid w:val="00474BBB"/>
    <w:rsid w:val="004B4DED"/>
    <w:rsid w:val="005648F3"/>
    <w:rsid w:val="0058294B"/>
    <w:rsid w:val="0061646B"/>
    <w:rsid w:val="00701776"/>
    <w:rsid w:val="00790FA1"/>
    <w:rsid w:val="007B1530"/>
    <w:rsid w:val="0085066C"/>
    <w:rsid w:val="00917F2D"/>
    <w:rsid w:val="009944AF"/>
    <w:rsid w:val="00995162"/>
    <w:rsid w:val="00AE0C85"/>
    <w:rsid w:val="00C46420"/>
    <w:rsid w:val="00CF7DF8"/>
    <w:rsid w:val="00EA1B18"/>
    <w:rsid w:val="00F8632A"/>
    <w:rsid w:val="00F929E5"/>
    <w:rsid w:val="00FA1F58"/>
    <w:rsid w:val="00FA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D0AD"/>
  <w15:chartTrackingRefBased/>
  <w15:docId w15:val="{31CBB7BD-22DF-498C-8578-DFE5E314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CF7DF8"/>
    <w:pPr>
      <w:keepNext/>
      <w:keepLines/>
      <w:spacing w:before="200" w:after="200" w:line="240" w:lineRule="auto"/>
      <w:jc w:val="center"/>
    </w:pPr>
    <w:rPr>
      <w:rFonts w:ascii="Times New Roman" w:eastAsia="Times New Roman" w:hAnsi="Times New Roman" w:cs="Times New Roman"/>
      <w:b/>
      <w:caps/>
      <w:sz w:val="24"/>
      <w:szCs w:val="24"/>
      <w:lang w:val="en-US"/>
    </w:rPr>
  </w:style>
  <w:style w:type="paragraph" w:customStyle="1" w:styleId="point2">
    <w:name w:val="point2"/>
    <w:basedOn w:val="Normal"/>
    <w:rsid w:val="00CF7DF8"/>
    <w:pPr>
      <w:spacing w:before="40" w:after="40" w:line="240" w:lineRule="auto"/>
      <w:ind w:left="1134" w:hanging="567"/>
    </w:pPr>
    <w:rPr>
      <w:rFonts w:ascii="Times New Roman" w:eastAsia="Times New Roman" w:hAnsi="Times New Roman" w:cs="Times New Roman"/>
      <w:szCs w:val="24"/>
      <w:lang w:val="en-US"/>
    </w:rPr>
  </w:style>
  <w:style w:type="paragraph" w:customStyle="1" w:styleId="header1">
    <w:name w:val="header1"/>
    <w:basedOn w:val="Normal"/>
    <w:next w:val="Normal"/>
    <w:rsid w:val="00CF7DF8"/>
    <w:pPr>
      <w:keepNext/>
      <w:tabs>
        <w:tab w:val="left" w:pos="567"/>
        <w:tab w:val="right" w:pos="9072"/>
      </w:tabs>
      <w:spacing w:before="200" w:after="200" w:line="240" w:lineRule="auto"/>
      <w:ind w:left="567" w:hanging="567"/>
    </w:pPr>
    <w:rPr>
      <w:rFonts w:ascii="Times New Roman" w:eastAsia="Times New Roman" w:hAnsi="Times New Roman" w:cs="Times New Roman"/>
      <w:b/>
      <w:szCs w:val="24"/>
      <w:lang w:val="en-US"/>
    </w:rPr>
  </w:style>
  <w:style w:type="paragraph" w:customStyle="1" w:styleId="paragraph2">
    <w:name w:val="paragraph2"/>
    <w:basedOn w:val="Normal"/>
    <w:rsid w:val="00CF7DF8"/>
    <w:pPr>
      <w:spacing w:before="100" w:after="100" w:line="240" w:lineRule="auto"/>
      <w:ind w:left="567"/>
      <w:jc w:val="both"/>
    </w:pPr>
    <w:rPr>
      <w:rFonts w:ascii="Times New Roman" w:eastAsia="Times New Roman" w:hAnsi="Times New Roman" w:cs="Times New Roman"/>
      <w:szCs w:val="24"/>
      <w:lang w:val="en-US"/>
    </w:rPr>
  </w:style>
  <w:style w:type="character" w:styleId="Hyperlink">
    <w:name w:val="Hyperlink"/>
    <w:rsid w:val="00CF7DF8"/>
    <w:rPr>
      <w:color w:val="0000FF"/>
      <w:u w:val="single"/>
    </w:rPr>
  </w:style>
  <w:style w:type="paragraph" w:customStyle="1" w:styleId="paragraph1">
    <w:name w:val="paragraph1"/>
    <w:basedOn w:val="Normal"/>
    <w:rsid w:val="00CF7DF8"/>
    <w:pPr>
      <w:tabs>
        <w:tab w:val="left" w:pos="567"/>
      </w:tabs>
      <w:spacing w:before="100" w:after="100"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C46420"/>
    <w:pPr>
      <w:ind w:left="720"/>
      <w:contextualSpacing/>
    </w:pPr>
  </w:style>
  <w:style w:type="paragraph" w:styleId="Header">
    <w:name w:val="header"/>
    <w:basedOn w:val="Normal"/>
    <w:link w:val="HeaderChar"/>
    <w:uiPriority w:val="99"/>
    <w:unhideWhenUsed/>
    <w:rsid w:val="0085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6C"/>
  </w:style>
  <w:style w:type="paragraph" w:styleId="Footer">
    <w:name w:val="footer"/>
    <w:basedOn w:val="Normal"/>
    <w:link w:val="FooterChar"/>
    <w:uiPriority w:val="99"/>
    <w:unhideWhenUsed/>
    <w:rsid w:val="00850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6C"/>
  </w:style>
  <w:style w:type="character" w:styleId="UnresolvedMention">
    <w:name w:val="Unresolved Mention"/>
    <w:basedOn w:val="DefaultParagraphFont"/>
    <w:uiPriority w:val="99"/>
    <w:semiHidden/>
    <w:unhideWhenUsed/>
    <w:rsid w:val="00EA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5287">
      <w:bodyDiv w:val="1"/>
      <w:marLeft w:val="0"/>
      <w:marRight w:val="0"/>
      <w:marTop w:val="0"/>
      <w:marBottom w:val="0"/>
      <w:divBdr>
        <w:top w:val="none" w:sz="0" w:space="0" w:color="auto"/>
        <w:left w:val="none" w:sz="0" w:space="0" w:color="auto"/>
        <w:bottom w:val="none" w:sz="0" w:space="0" w:color="auto"/>
        <w:right w:val="none" w:sz="0" w:space="0" w:color="auto"/>
      </w:divBdr>
    </w:div>
    <w:div w:id="15996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ic@union.unimelb.edu.au" TargetMode="External"/><Relationship Id="rId3" Type="http://schemas.openxmlformats.org/officeDocument/2006/relationships/settings" Target="settings.xml"/><Relationship Id="rId7" Type="http://schemas.openxmlformats.org/officeDocument/2006/relationships/hyperlink" Target="https://blogs.unimelb.edu.au/theatre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Kalive</dc:creator>
  <cp:keywords/>
  <dc:description/>
  <cp:lastModifiedBy>Annie Fitzgibbon</cp:lastModifiedBy>
  <cp:revision>5</cp:revision>
  <dcterms:created xsi:type="dcterms:W3CDTF">2020-09-02T07:47:00Z</dcterms:created>
  <dcterms:modified xsi:type="dcterms:W3CDTF">2020-09-30T03:32:00Z</dcterms:modified>
</cp:coreProperties>
</file>